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D8F" w:rsidRDefault="00AE0D8F" w:rsidP="00AE0D8F">
      <w:pPr>
        <w:spacing w:before="100" w:beforeAutospacing="1" w:after="100" w:afterAutospacing="1" w:line="360" w:lineRule="auto"/>
        <w:jc w:val="center"/>
        <w:outlineLvl w:val="4"/>
        <w:rPr>
          <w:rFonts w:ascii="Times New Roman" w:eastAsia="Times New Roman" w:hAnsi="Times New Roman" w:cs="Times New Roman"/>
          <w:b/>
          <w:bCs/>
          <w:sz w:val="28"/>
          <w:szCs w:val="28"/>
          <w:lang w:eastAsia="es-ES"/>
        </w:rPr>
      </w:pPr>
      <w:r w:rsidRPr="00AE0D8F">
        <w:rPr>
          <w:rFonts w:ascii="Times New Roman" w:eastAsia="Times New Roman" w:hAnsi="Times New Roman" w:cs="Times New Roman"/>
          <w:b/>
          <w:bCs/>
          <w:sz w:val="28"/>
          <w:szCs w:val="28"/>
          <w:lang w:eastAsia="es-ES"/>
        </w:rPr>
        <w:t>JARDINES DEL PORVENIR</w:t>
      </w:r>
      <w:r>
        <w:rPr>
          <w:rFonts w:ascii="Times New Roman" w:eastAsia="Times New Roman" w:hAnsi="Times New Roman" w:cs="Times New Roman"/>
          <w:b/>
          <w:bCs/>
          <w:sz w:val="28"/>
          <w:szCs w:val="28"/>
          <w:lang w:eastAsia="es-ES"/>
        </w:rPr>
        <w:t>.</w:t>
      </w:r>
    </w:p>
    <w:p w:rsidR="004F3F60" w:rsidRPr="00AE0D8F" w:rsidRDefault="004F3F60" w:rsidP="00AE0D8F">
      <w:pPr>
        <w:spacing w:before="100" w:beforeAutospacing="1" w:after="100" w:afterAutospacing="1" w:line="360" w:lineRule="auto"/>
        <w:jc w:val="center"/>
        <w:outlineLvl w:val="4"/>
        <w:rPr>
          <w:rFonts w:ascii="Times New Roman" w:eastAsia="Times New Roman" w:hAnsi="Times New Roman" w:cs="Times New Roman"/>
          <w:b/>
          <w:bCs/>
          <w:sz w:val="28"/>
          <w:szCs w:val="28"/>
          <w:lang w:eastAsia="es-ES"/>
        </w:rPr>
      </w:pPr>
      <w:r>
        <w:rPr>
          <w:rFonts w:ascii="Times New Roman" w:eastAsia="Times New Roman" w:hAnsi="Times New Roman" w:cs="Times New Roman"/>
          <w:b/>
          <w:bCs/>
          <w:noProof/>
          <w:sz w:val="28"/>
          <w:szCs w:val="28"/>
          <w:lang w:eastAsia="es-ES"/>
        </w:rPr>
        <w:drawing>
          <wp:inline distT="0" distB="0" distL="0" distR="0">
            <wp:extent cx="4464050" cy="2826881"/>
            <wp:effectExtent l="0" t="0" r="0" b="0"/>
            <wp:docPr id="1" name="Imagen 1" descr="C:\Users\Ernesto\Desktop\El Porveni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esto\Desktop\El Porvenir.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4050" cy="2826881"/>
                    </a:xfrm>
                    <a:prstGeom prst="rect">
                      <a:avLst/>
                    </a:prstGeom>
                    <a:noFill/>
                    <a:ln>
                      <a:noFill/>
                    </a:ln>
                  </pic:spPr>
                </pic:pic>
              </a:graphicData>
            </a:graphic>
          </wp:inline>
        </w:drawing>
      </w:r>
    </w:p>
    <w:p w:rsidR="00AE0D8F" w:rsidRPr="00AE0D8F" w:rsidRDefault="00AE0D8F" w:rsidP="00AE0D8F">
      <w:pPr>
        <w:spacing w:before="100" w:beforeAutospacing="1" w:after="100" w:afterAutospacing="1" w:line="360" w:lineRule="auto"/>
        <w:jc w:val="both"/>
        <w:outlineLvl w:val="4"/>
        <w:rPr>
          <w:rFonts w:ascii="Times New Roman" w:eastAsia="Times New Roman" w:hAnsi="Times New Roman" w:cs="Times New Roman"/>
          <w:b/>
          <w:bCs/>
          <w:sz w:val="28"/>
          <w:szCs w:val="28"/>
          <w:lang w:eastAsia="es-ES"/>
        </w:rPr>
      </w:pPr>
    </w:p>
    <w:p w:rsidR="00AE0D8F" w:rsidRPr="00AE0D8F" w:rsidRDefault="00AE0D8F" w:rsidP="00AE0D8F">
      <w:pPr>
        <w:spacing w:before="100" w:beforeAutospacing="1" w:after="100" w:afterAutospacing="1" w:line="360" w:lineRule="auto"/>
        <w:jc w:val="both"/>
        <w:outlineLvl w:val="4"/>
        <w:rPr>
          <w:rFonts w:ascii="Times New Roman" w:eastAsia="Times New Roman" w:hAnsi="Times New Roman" w:cs="Times New Roman"/>
          <w:b/>
          <w:bCs/>
          <w:sz w:val="28"/>
          <w:szCs w:val="28"/>
          <w:lang w:eastAsia="es-ES"/>
        </w:rPr>
      </w:pPr>
      <w:r w:rsidRPr="00AE0D8F">
        <w:rPr>
          <w:rFonts w:ascii="Times New Roman" w:eastAsia="Times New Roman" w:hAnsi="Times New Roman" w:cs="Times New Roman"/>
          <w:b/>
          <w:bCs/>
          <w:sz w:val="28"/>
          <w:szCs w:val="28"/>
          <w:lang w:eastAsia="es-ES"/>
        </w:rPr>
        <w:t>Descripción</w:t>
      </w:r>
      <w:r>
        <w:rPr>
          <w:rFonts w:ascii="Times New Roman" w:eastAsia="Times New Roman" w:hAnsi="Times New Roman" w:cs="Times New Roman"/>
          <w:b/>
          <w:bCs/>
          <w:sz w:val="28"/>
          <w:szCs w:val="28"/>
          <w:lang w:eastAsia="es-ES"/>
        </w:rPr>
        <w:t>:</w:t>
      </w:r>
    </w:p>
    <w:p w:rsidR="00AE0D8F" w:rsidRDefault="00AE0D8F" w:rsidP="00AE0D8F">
      <w:pPr>
        <w:spacing w:before="100" w:beforeAutospacing="1" w:after="100" w:afterAutospacing="1" w:line="360" w:lineRule="auto"/>
        <w:ind w:firstLine="708"/>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Frente a la estación del ferrocarril de la ciudad de Puerto Real</w:t>
      </w:r>
      <w:r>
        <w:rPr>
          <w:rFonts w:ascii="Times New Roman" w:eastAsia="Times New Roman" w:hAnsi="Times New Roman" w:cs="Times New Roman"/>
          <w:sz w:val="28"/>
          <w:szCs w:val="28"/>
          <w:lang w:eastAsia="es-ES"/>
        </w:rPr>
        <w:t xml:space="preserve"> (Cádiz)</w:t>
      </w:r>
      <w:r w:rsidRPr="00AE0D8F">
        <w:rPr>
          <w:rFonts w:ascii="Times New Roman" w:eastAsia="Times New Roman" w:hAnsi="Times New Roman" w:cs="Times New Roman"/>
          <w:sz w:val="28"/>
          <w:szCs w:val="28"/>
          <w:lang w:eastAsia="es-ES"/>
        </w:rPr>
        <w:t xml:space="preserve"> se abren unos jardines para el descanso que lucen viejos ejemplares de especies vegetales.</w:t>
      </w:r>
    </w:p>
    <w:p w:rsidR="00AE0D8F" w:rsidRDefault="00AE0D8F" w:rsidP="00AE0D8F">
      <w:pPr>
        <w:spacing w:before="100" w:beforeAutospacing="1" w:after="100" w:afterAutospacing="1" w:line="360" w:lineRule="auto"/>
        <w:ind w:firstLine="708"/>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 xml:space="preserve">En los siglos XVI y XVII el solar del parque lo ocupaba una zona inundable de lagunas, de ahí el primitivo nombre de </w:t>
      </w:r>
      <w:r>
        <w:rPr>
          <w:rFonts w:ascii="Times New Roman" w:eastAsia="Times New Roman" w:hAnsi="Times New Roman" w:cs="Times New Roman"/>
          <w:sz w:val="28"/>
          <w:szCs w:val="28"/>
          <w:lang w:eastAsia="es-ES"/>
        </w:rPr>
        <w:t>“</w:t>
      </w:r>
      <w:r w:rsidRPr="00AE0D8F">
        <w:rPr>
          <w:rFonts w:ascii="Times New Roman" w:eastAsia="Times New Roman" w:hAnsi="Times New Roman" w:cs="Times New Roman"/>
          <w:sz w:val="28"/>
          <w:szCs w:val="28"/>
          <w:lang w:eastAsia="es-ES"/>
        </w:rPr>
        <w:t>La Laguna.</w:t>
      </w:r>
      <w:r>
        <w:rPr>
          <w:rFonts w:ascii="Times New Roman" w:eastAsia="Times New Roman" w:hAnsi="Times New Roman" w:cs="Times New Roman"/>
          <w:sz w:val="28"/>
          <w:szCs w:val="28"/>
          <w:lang w:eastAsia="es-ES"/>
        </w:rPr>
        <w:t>”</w:t>
      </w:r>
      <w:r w:rsidRPr="00AE0D8F">
        <w:rPr>
          <w:rFonts w:ascii="Times New Roman" w:eastAsia="Times New Roman" w:hAnsi="Times New Roman" w:cs="Times New Roman"/>
          <w:sz w:val="28"/>
          <w:szCs w:val="28"/>
          <w:lang w:eastAsia="es-ES"/>
        </w:rPr>
        <w:t xml:space="preserve"> En el siglo XVIII Puerto Real se fue extendiendo por su zona norte hacia La Laguna. En este siglo comienzan a realizarse las primeras actuaciones de drenaje sobre este espacio público. A finales de este mismo siglo se realizaría la canalización de aguas desde la Fuente de la Higuera hasta el núcleo urbano, levantándose como fuente principal la conocida Arca del agua (1778-1781) en estilo barroco. Posiblemente y con anterioridad a este edificio y a los jardines</w:t>
      </w:r>
      <w:r>
        <w:rPr>
          <w:rFonts w:ascii="Times New Roman" w:eastAsia="Times New Roman" w:hAnsi="Times New Roman" w:cs="Times New Roman"/>
          <w:sz w:val="28"/>
          <w:szCs w:val="28"/>
          <w:lang w:eastAsia="es-ES"/>
        </w:rPr>
        <w:t>,</w:t>
      </w:r>
      <w:r w:rsidRPr="00AE0D8F">
        <w:rPr>
          <w:rFonts w:ascii="Times New Roman" w:eastAsia="Times New Roman" w:hAnsi="Times New Roman" w:cs="Times New Roman"/>
          <w:sz w:val="28"/>
          <w:szCs w:val="28"/>
          <w:lang w:eastAsia="es-ES"/>
        </w:rPr>
        <w:t xml:space="preserve"> existiera ya la actual </w:t>
      </w:r>
      <w:r>
        <w:rPr>
          <w:rFonts w:ascii="Times New Roman" w:eastAsia="Times New Roman" w:hAnsi="Times New Roman" w:cs="Times New Roman"/>
          <w:sz w:val="28"/>
          <w:szCs w:val="28"/>
          <w:lang w:eastAsia="es-ES"/>
        </w:rPr>
        <w:t>“</w:t>
      </w:r>
      <w:r w:rsidRPr="00AE0D8F">
        <w:rPr>
          <w:rFonts w:ascii="Times New Roman" w:eastAsia="Times New Roman" w:hAnsi="Times New Roman" w:cs="Times New Roman"/>
          <w:sz w:val="28"/>
          <w:szCs w:val="28"/>
          <w:lang w:eastAsia="es-ES"/>
        </w:rPr>
        <w:t>Posada de Bello,</w:t>
      </w:r>
      <w:r>
        <w:rPr>
          <w:rFonts w:ascii="Times New Roman" w:eastAsia="Times New Roman" w:hAnsi="Times New Roman" w:cs="Times New Roman"/>
          <w:sz w:val="28"/>
          <w:szCs w:val="28"/>
          <w:lang w:eastAsia="es-ES"/>
        </w:rPr>
        <w:t>”</w:t>
      </w:r>
      <w:r w:rsidRPr="00AE0D8F">
        <w:rPr>
          <w:rFonts w:ascii="Times New Roman" w:eastAsia="Times New Roman" w:hAnsi="Times New Roman" w:cs="Times New Roman"/>
          <w:sz w:val="28"/>
          <w:szCs w:val="28"/>
          <w:lang w:eastAsia="es-ES"/>
        </w:rPr>
        <w:t xml:space="preserve"> uno de los grandes edificios del entorno. Otros edificios que existieron en este lugar </w:t>
      </w:r>
      <w:r w:rsidRPr="00AE0D8F">
        <w:rPr>
          <w:rFonts w:ascii="Times New Roman" w:eastAsia="Times New Roman" w:hAnsi="Times New Roman" w:cs="Times New Roman"/>
          <w:sz w:val="28"/>
          <w:szCs w:val="28"/>
          <w:lang w:eastAsia="es-ES"/>
        </w:rPr>
        <w:lastRenderedPageBreak/>
        <w:t xml:space="preserve">fueron los </w:t>
      </w:r>
      <w:r>
        <w:rPr>
          <w:rFonts w:ascii="Times New Roman" w:eastAsia="Times New Roman" w:hAnsi="Times New Roman" w:cs="Times New Roman"/>
          <w:sz w:val="28"/>
          <w:szCs w:val="28"/>
          <w:lang w:eastAsia="es-ES"/>
        </w:rPr>
        <w:t>“L</w:t>
      </w:r>
      <w:r w:rsidRPr="00AE0D8F">
        <w:rPr>
          <w:rFonts w:ascii="Times New Roman" w:eastAsia="Times New Roman" w:hAnsi="Times New Roman" w:cs="Times New Roman"/>
          <w:sz w:val="28"/>
          <w:szCs w:val="28"/>
          <w:lang w:eastAsia="es-ES"/>
        </w:rPr>
        <w:t>avaderos públicos</w:t>
      </w:r>
      <w:r>
        <w:rPr>
          <w:rFonts w:ascii="Times New Roman" w:eastAsia="Times New Roman" w:hAnsi="Times New Roman" w:cs="Times New Roman"/>
          <w:sz w:val="28"/>
          <w:szCs w:val="28"/>
          <w:lang w:eastAsia="es-ES"/>
        </w:rPr>
        <w:t>”</w:t>
      </w:r>
      <w:r w:rsidRPr="00AE0D8F">
        <w:rPr>
          <w:rFonts w:ascii="Times New Roman" w:eastAsia="Times New Roman" w:hAnsi="Times New Roman" w:cs="Times New Roman"/>
          <w:sz w:val="28"/>
          <w:szCs w:val="28"/>
          <w:lang w:eastAsia="es-ES"/>
        </w:rPr>
        <w:t xml:space="preserve"> y una capilla dedicada a Nuestra Señora de Regla.</w:t>
      </w:r>
    </w:p>
    <w:p w:rsidR="004F3F60" w:rsidRDefault="004F3F60" w:rsidP="004F3F60">
      <w:pPr>
        <w:spacing w:before="100" w:beforeAutospacing="1" w:after="100" w:afterAutospacing="1" w:line="360" w:lineRule="auto"/>
        <w:ind w:firstLine="708"/>
        <w:jc w:val="center"/>
        <w:rPr>
          <w:rFonts w:ascii="Times New Roman" w:eastAsia="Times New Roman" w:hAnsi="Times New Roman" w:cs="Times New Roman"/>
          <w:sz w:val="28"/>
          <w:szCs w:val="28"/>
          <w:lang w:eastAsia="es-ES"/>
        </w:rPr>
      </w:pPr>
      <w:r>
        <w:rPr>
          <w:rFonts w:ascii="Times New Roman" w:eastAsia="Times New Roman" w:hAnsi="Times New Roman" w:cs="Times New Roman"/>
          <w:noProof/>
          <w:sz w:val="28"/>
          <w:szCs w:val="28"/>
          <w:lang w:eastAsia="es-ES"/>
        </w:rPr>
        <w:drawing>
          <wp:inline distT="0" distB="0" distL="0" distR="0">
            <wp:extent cx="3676650" cy="2432312"/>
            <wp:effectExtent l="0" t="0" r="0" b="6350"/>
            <wp:docPr id="2" name="Imagen 2" descr="C:\Users\Ernesto\Desktop\El Porveni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nesto\Desktop\El Porvenir.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9128" cy="2433951"/>
                    </a:xfrm>
                    <a:prstGeom prst="rect">
                      <a:avLst/>
                    </a:prstGeom>
                    <a:noFill/>
                    <a:ln>
                      <a:noFill/>
                    </a:ln>
                  </pic:spPr>
                </pic:pic>
              </a:graphicData>
            </a:graphic>
          </wp:inline>
        </w:drawing>
      </w:r>
    </w:p>
    <w:p w:rsidR="00AE0D8F" w:rsidRDefault="00AE0D8F" w:rsidP="00AE0D8F">
      <w:pPr>
        <w:spacing w:before="100" w:beforeAutospacing="1" w:after="100" w:afterAutospacing="1" w:line="360" w:lineRule="auto"/>
        <w:ind w:firstLine="708"/>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En el siglo XIX la zona de la laguna comienza a ser una de las zonas de esparcimiento más importante de la Villa junto con las plazas del casco urbano y los Jardines del Muelle.</w:t>
      </w:r>
      <w:r>
        <w:rPr>
          <w:rFonts w:ascii="Times New Roman" w:eastAsia="Times New Roman" w:hAnsi="Times New Roman" w:cs="Times New Roman"/>
          <w:sz w:val="28"/>
          <w:szCs w:val="28"/>
          <w:lang w:eastAsia="es-ES"/>
        </w:rPr>
        <w:t xml:space="preserve"> </w:t>
      </w:r>
      <w:r w:rsidRPr="00AE0D8F">
        <w:rPr>
          <w:rFonts w:ascii="Times New Roman" w:eastAsia="Times New Roman" w:hAnsi="Times New Roman" w:cs="Times New Roman"/>
          <w:sz w:val="28"/>
          <w:szCs w:val="28"/>
          <w:lang w:eastAsia="es-ES"/>
        </w:rPr>
        <w:t xml:space="preserve">En 1856 recibe el nombre actual de El Porvenir. Hasta 1861 se conservó cerrado por una verja; en 1872 se procede a su apertura, ante la concurrencia cada vez mayor del público. Los jardines, serían ensanchados al proyectarse nuevos parterres frente a la estación de ferrocarril, que poco antes era inaugurada. La remodelación bajo mandato de D. Antonio Capriles (1882-1885) le otorgará ese aire </w:t>
      </w:r>
      <w:proofErr w:type="spellStart"/>
      <w:r w:rsidRPr="00AE0D8F">
        <w:rPr>
          <w:rFonts w:ascii="Times New Roman" w:eastAsia="Times New Roman" w:hAnsi="Times New Roman" w:cs="Times New Roman"/>
          <w:sz w:val="28"/>
          <w:szCs w:val="28"/>
          <w:lang w:eastAsia="es-ES"/>
        </w:rPr>
        <w:t>romanticista</w:t>
      </w:r>
      <w:proofErr w:type="spellEnd"/>
      <w:r w:rsidRPr="00AE0D8F">
        <w:rPr>
          <w:rFonts w:ascii="Times New Roman" w:eastAsia="Times New Roman" w:hAnsi="Times New Roman" w:cs="Times New Roman"/>
          <w:sz w:val="28"/>
          <w:szCs w:val="28"/>
          <w:lang w:eastAsia="es-ES"/>
        </w:rPr>
        <w:t xml:space="preserve"> que conserva en la actualidad; se instalan los bancos con respaldo de hierro, las verjas rodeando su perímetro y las portadas con jarrones.</w:t>
      </w:r>
    </w:p>
    <w:p w:rsidR="00AE0D8F" w:rsidRDefault="00AE0D8F" w:rsidP="00AE0D8F">
      <w:pPr>
        <w:spacing w:before="100" w:beforeAutospacing="1" w:after="100" w:afterAutospacing="1" w:line="360" w:lineRule="auto"/>
        <w:ind w:firstLine="708"/>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Actualmente los jardines de El Porvenir se encuentran en una situación bastante buena, incluso ha mejorado su atractivo gracias a la construcción y mejora de algunos elementos.</w:t>
      </w:r>
      <w:r>
        <w:rPr>
          <w:rFonts w:ascii="Times New Roman" w:eastAsia="Times New Roman" w:hAnsi="Times New Roman" w:cs="Times New Roman"/>
          <w:sz w:val="28"/>
          <w:szCs w:val="28"/>
          <w:lang w:eastAsia="es-ES"/>
        </w:rPr>
        <w:t xml:space="preserve"> </w:t>
      </w:r>
      <w:r w:rsidRPr="00AE0D8F">
        <w:rPr>
          <w:rFonts w:ascii="Times New Roman" w:eastAsia="Times New Roman" w:hAnsi="Times New Roman" w:cs="Times New Roman"/>
          <w:sz w:val="28"/>
          <w:szCs w:val="28"/>
          <w:lang w:eastAsia="es-ES"/>
        </w:rPr>
        <w:t>En el antiguo estanque bordeado por seto vivo tiene remodelados sus linderos y ha quedado convertido en amplia fontana con bordes de ma</w:t>
      </w:r>
      <w:r>
        <w:rPr>
          <w:rFonts w:ascii="Times New Roman" w:eastAsia="Times New Roman" w:hAnsi="Times New Roman" w:cs="Times New Roman"/>
          <w:sz w:val="28"/>
          <w:szCs w:val="28"/>
          <w:lang w:eastAsia="es-ES"/>
        </w:rPr>
        <w:t>m</w:t>
      </w:r>
      <w:r w:rsidRPr="00AE0D8F">
        <w:rPr>
          <w:rFonts w:ascii="Times New Roman" w:eastAsia="Times New Roman" w:hAnsi="Times New Roman" w:cs="Times New Roman"/>
          <w:sz w:val="28"/>
          <w:szCs w:val="28"/>
          <w:lang w:eastAsia="es-ES"/>
        </w:rPr>
        <w:t xml:space="preserve">postería e interior </w:t>
      </w:r>
      <w:proofErr w:type="spellStart"/>
      <w:r w:rsidRPr="00AE0D8F">
        <w:rPr>
          <w:rFonts w:ascii="Times New Roman" w:eastAsia="Times New Roman" w:hAnsi="Times New Roman" w:cs="Times New Roman"/>
          <w:sz w:val="28"/>
          <w:szCs w:val="28"/>
          <w:lang w:eastAsia="es-ES"/>
        </w:rPr>
        <w:t>azulejeado</w:t>
      </w:r>
      <w:proofErr w:type="spellEnd"/>
      <w:r w:rsidRPr="00AE0D8F">
        <w:rPr>
          <w:rFonts w:ascii="Times New Roman" w:eastAsia="Times New Roman" w:hAnsi="Times New Roman" w:cs="Times New Roman"/>
          <w:sz w:val="28"/>
          <w:szCs w:val="28"/>
          <w:lang w:eastAsia="es-ES"/>
        </w:rPr>
        <w:t xml:space="preserve"> de teselas. Unos bancos de madera y otros de ladrillo con </w:t>
      </w:r>
      <w:r w:rsidRPr="00AE0D8F">
        <w:rPr>
          <w:rFonts w:ascii="Times New Roman" w:eastAsia="Times New Roman" w:hAnsi="Times New Roman" w:cs="Times New Roman"/>
          <w:sz w:val="28"/>
          <w:szCs w:val="28"/>
          <w:lang w:eastAsia="es-ES"/>
        </w:rPr>
        <w:lastRenderedPageBreak/>
        <w:t>respaldos de hierro garantizan el lugar para descansar. Más allá, en dirección a la población unos puentecillo</w:t>
      </w:r>
      <w:r>
        <w:rPr>
          <w:rFonts w:ascii="Times New Roman" w:eastAsia="Times New Roman" w:hAnsi="Times New Roman" w:cs="Times New Roman"/>
          <w:sz w:val="28"/>
          <w:szCs w:val="28"/>
          <w:lang w:eastAsia="es-ES"/>
        </w:rPr>
        <w:t>s</w:t>
      </w:r>
      <w:r w:rsidRPr="00AE0D8F">
        <w:rPr>
          <w:rFonts w:ascii="Times New Roman" w:eastAsia="Times New Roman" w:hAnsi="Times New Roman" w:cs="Times New Roman"/>
          <w:sz w:val="28"/>
          <w:szCs w:val="28"/>
          <w:lang w:eastAsia="es-ES"/>
        </w:rPr>
        <w:t xml:space="preserve"> dan aire a una zona sombría y verde con una fuentecilla.</w:t>
      </w:r>
      <w:r>
        <w:rPr>
          <w:rFonts w:ascii="Times New Roman" w:eastAsia="Times New Roman" w:hAnsi="Times New Roman" w:cs="Times New Roman"/>
          <w:sz w:val="28"/>
          <w:szCs w:val="28"/>
          <w:lang w:eastAsia="es-ES"/>
        </w:rPr>
        <w:t xml:space="preserve"> </w:t>
      </w:r>
      <w:r w:rsidRPr="00AE0D8F">
        <w:rPr>
          <w:rFonts w:ascii="Times New Roman" w:eastAsia="Times New Roman" w:hAnsi="Times New Roman" w:cs="Times New Roman"/>
          <w:sz w:val="28"/>
          <w:szCs w:val="28"/>
          <w:lang w:eastAsia="es-ES"/>
        </w:rPr>
        <w:t>Este es un espacio enormemente valioso dentro del entramado urbano de la ciudad. Aparte de su antig</w:t>
      </w:r>
      <w:r>
        <w:rPr>
          <w:rFonts w:ascii="Times New Roman" w:eastAsia="Times New Roman" w:hAnsi="Times New Roman" w:cs="Times New Roman"/>
          <w:sz w:val="28"/>
          <w:szCs w:val="28"/>
          <w:lang w:eastAsia="es-ES"/>
        </w:rPr>
        <w:t>ü</w:t>
      </w:r>
      <w:r w:rsidRPr="00AE0D8F">
        <w:rPr>
          <w:rFonts w:ascii="Times New Roman" w:eastAsia="Times New Roman" w:hAnsi="Times New Roman" w:cs="Times New Roman"/>
          <w:sz w:val="28"/>
          <w:szCs w:val="28"/>
          <w:lang w:eastAsia="es-ES"/>
        </w:rPr>
        <w:t>edad</w:t>
      </w:r>
      <w:r>
        <w:rPr>
          <w:rFonts w:ascii="Times New Roman" w:eastAsia="Times New Roman" w:hAnsi="Times New Roman" w:cs="Times New Roman"/>
          <w:sz w:val="28"/>
          <w:szCs w:val="28"/>
          <w:lang w:eastAsia="es-ES"/>
        </w:rPr>
        <w:t>,</w:t>
      </w:r>
      <w:r w:rsidRPr="00AE0D8F">
        <w:rPr>
          <w:rFonts w:ascii="Times New Roman" w:eastAsia="Times New Roman" w:hAnsi="Times New Roman" w:cs="Times New Roman"/>
          <w:sz w:val="28"/>
          <w:szCs w:val="28"/>
          <w:lang w:eastAsia="es-ES"/>
        </w:rPr>
        <w:t xml:space="preserve"> destaca la gran variedad de árboles y arbustos ornamentales que existen.</w:t>
      </w:r>
    </w:p>
    <w:p w:rsidR="004F3F60" w:rsidRDefault="004F3F60" w:rsidP="004F3F60">
      <w:pPr>
        <w:spacing w:before="100" w:beforeAutospacing="1" w:after="100" w:afterAutospacing="1" w:line="360" w:lineRule="auto"/>
        <w:ind w:firstLine="708"/>
        <w:jc w:val="center"/>
        <w:rPr>
          <w:rFonts w:ascii="Times New Roman" w:eastAsia="Times New Roman" w:hAnsi="Times New Roman" w:cs="Times New Roman"/>
          <w:sz w:val="28"/>
          <w:szCs w:val="28"/>
          <w:lang w:eastAsia="es-ES"/>
        </w:rPr>
      </w:pPr>
      <w:r>
        <w:rPr>
          <w:rFonts w:ascii="Times New Roman" w:eastAsia="Times New Roman" w:hAnsi="Times New Roman" w:cs="Times New Roman"/>
          <w:noProof/>
          <w:sz w:val="28"/>
          <w:szCs w:val="28"/>
          <w:lang w:eastAsia="es-ES"/>
        </w:rPr>
        <w:drawing>
          <wp:inline distT="0" distB="0" distL="0" distR="0">
            <wp:extent cx="4156813" cy="2908300"/>
            <wp:effectExtent l="0" t="0" r="0" b="6350"/>
            <wp:docPr id="3" name="Imagen 3" descr="C:\Users\Ernesto\Desktop\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nesto\Desktop\g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813" cy="2908300"/>
                    </a:xfrm>
                    <a:prstGeom prst="rect">
                      <a:avLst/>
                    </a:prstGeom>
                    <a:noFill/>
                    <a:ln>
                      <a:noFill/>
                    </a:ln>
                  </pic:spPr>
                </pic:pic>
              </a:graphicData>
            </a:graphic>
          </wp:inline>
        </w:drawing>
      </w:r>
    </w:p>
    <w:p w:rsidR="00AE0D8F" w:rsidRPr="00AE0D8F" w:rsidRDefault="00AE0D8F" w:rsidP="00AE0D8F">
      <w:pPr>
        <w:spacing w:before="100" w:beforeAutospacing="1" w:after="100" w:afterAutospacing="1" w:line="360" w:lineRule="auto"/>
        <w:ind w:firstLine="708"/>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Este jardín lo componen casi 200 árboles y pueden contemplarse hasta 30 especies diferentes. Se podría considerar como un gran escaparate que muestra ejemplares de todos los lugares del planeta. Aquí podemos observar especies americanas como las acacias de tres espinas, la falsa pimienta, las palmeras washingtoniana</w:t>
      </w:r>
      <w:r>
        <w:rPr>
          <w:rFonts w:ascii="Times New Roman" w:eastAsia="Times New Roman" w:hAnsi="Times New Roman" w:cs="Times New Roman"/>
          <w:sz w:val="28"/>
          <w:szCs w:val="28"/>
          <w:lang w:eastAsia="es-ES"/>
        </w:rPr>
        <w:t>s</w:t>
      </w:r>
      <w:r w:rsidRPr="00AE0D8F">
        <w:rPr>
          <w:rFonts w:ascii="Times New Roman" w:eastAsia="Times New Roman" w:hAnsi="Times New Roman" w:cs="Times New Roman"/>
          <w:sz w:val="28"/>
          <w:szCs w:val="28"/>
          <w:lang w:eastAsia="es-ES"/>
        </w:rPr>
        <w:t xml:space="preserve">. También hay especies orientales: </w:t>
      </w:r>
      <w:proofErr w:type="spellStart"/>
      <w:r w:rsidRPr="00AE0D8F">
        <w:rPr>
          <w:rFonts w:ascii="Times New Roman" w:eastAsia="Times New Roman" w:hAnsi="Times New Roman" w:cs="Times New Roman"/>
          <w:sz w:val="28"/>
          <w:szCs w:val="28"/>
          <w:lang w:eastAsia="es-ES"/>
        </w:rPr>
        <w:t>Albizias</w:t>
      </w:r>
      <w:proofErr w:type="spellEnd"/>
      <w:r w:rsidRPr="00AE0D8F">
        <w:rPr>
          <w:rFonts w:ascii="Times New Roman" w:eastAsia="Times New Roman" w:hAnsi="Times New Roman" w:cs="Times New Roman"/>
          <w:sz w:val="28"/>
          <w:szCs w:val="28"/>
          <w:lang w:eastAsia="es-ES"/>
        </w:rPr>
        <w:t xml:space="preserve">, sóforas, los cerezos chinos, los sauces o las moreras... Australianas son las araucarias, </w:t>
      </w:r>
      <w:proofErr w:type="spellStart"/>
      <w:r w:rsidRPr="00AE0D8F">
        <w:rPr>
          <w:rFonts w:ascii="Times New Roman" w:eastAsia="Times New Roman" w:hAnsi="Times New Roman" w:cs="Times New Roman"/>
          <w:sz w:val="28"/>
          <w:szCs w:val="28"/>
          <w:lang w:eastAsia="es-ES"/>
        </w:rPr>
        <w:t>Brachichito</w:t>
      </w:r>
      <w:proofErr w:type="spellEnd"/>
      <w:r w:rsidRPr="00AE0D8F">
        <w:rPr>
          <w:rFonts w:ascii="Times New Roman" w:eastAsia="Times New Roman" w:hAnsi="Times New Roman" w:cs="Times New Roman"/>
          <w:sz w:val="28"/>
          <w:szCs w:val="28"/>
          <w:lang w:eastAsia="es-ES"/>
        </w:rPr>
        <w:t xml:space="preserve"> y la </w:t>
      </w:r>
      <w:proofErr w:type="spellStart"/>
      <w:r w:rsidRPr="00AE0D8F">
        <w:rPr>
          <w:rFonts w:ascii="Times New Roman" w:eastAsia="Times New Roman" w:hAnsi="Times New Roman" w:cs="Times New Roman"/>
          <w:sz w:val="28"/>
          <w:szCs w:val="28"/>
          <w:lang w:eastAsia="es-ES"/>
        </w:rPr>
        <w:t>lagunaria</w:t>
      </w:r>
      <w:proofErr w:type="spellEnd"/>
      <w:r w:rsidRPr="00AE0D8F">
        <w:rPr>
          <w:rFonts w:ascii="Times New Roman" w:eastAsia="Times New Roman" w:hAnsi="Times New Roman" w:cs="Times New Roman"/>
          <w:sz w:val="28"/>
          <w:szCs w:val="28"/>
          <w:lang w:eastAsia="es-ES"/>
        </w:rPr>
        <w:t xml:space="preserve">. Africanas como la </w:t>
      </w:r>
      <w:proofErr w:type="spellStart"/>
      <w:r w:rsidRPr="00AE0D8F">
        <w:rPr>
          <w:rFonts w:ascii="Times New Roman" w:eastAsia="Times New Roman" w:hAnsi="Times New Roman" w:cs="Times New Roman"/>
          <w:sz w:val="28"/>
          <w:szCs w:val="28"/>
          <w:lang w:eastAsia="es-ES"/>
        </w:rPr>
        <w:t>drácea</w:t>
      </w:r>
      <w:proofErr w:type="spellEnd"/>
      <w:r w:rsidRPr="00AE0D8F">
        <w:rPr>
          <w:rFonts w:ascii="Times New Roman" w:eastAsia="Times New Roman" w:hAnsi="Times New Roman" w:cs="Times New Roman"/>
          <w:sz w:val="28"/>
          <w:szCs w:val="28"/>
          <w:lang w:eastAsia="es-ES"/>
        </w:rPr>
        <w:t xml:space="preserve"> o la palmera datilera. Y las europeas como el olmo, el álamo, el ciprés o los pinos carrasco o piñonero. Y como no, ejemplares de nuestro país son el drago y la palmera canaria.</w:t>
      </w:r>
      <w:r>
        <w:rPr>
          <w:rFonts w:ascii="Times New Roman" w:eastAsia="Times New Roman" w:hAnsi="Times New Roman" w:cs="Times New Roman"/>
          <w:sz w:val="28"/>
          <w:szCs w:val="28"/>
          <w:lang w:eastAsia="es-ES"/>
        </w:rPr>
        <w:t xml:space="preserve"> </w:t>
      </w:r>
      <w:r w:rsidRPr="00AE0D8F">
        <w:rPr>
          <w:rFonts w:ascii="Times New Roman" w:eastAsia="Times New Roman" w:hAnsi="Times New Roman" w:cs="Times New Roman"/>
          <w:sz w:val="28"/>
          <w:szCs w:val="28"/>
          <w:lang w:eastAsia="es-ES"/>
        </w:rPr>
        <w:t xml:space="preserve">También hay arbustos muy especiales como las centenarias adelfas, los curiosos </w:t>
      </w:r>
      <w:proofErr w:type="spellStart"/>
      <w:r w:rsidRPr="00AE0D8F">
        <w:rPr>
          <w:rFonts w:ascii="Times New Roman" w:eastAsia="Times New Roman" w:hAnsi="Times New Roman" w:cs="Times New Roman"/>
          <w:sz w:val="28"/>
          <w:szCs w:val="28"/>
          <w:lang w:eastAsia="es-ES"/>
        </w:rPr>
        <w:t>ibiscus</w:t>
      </w:r>
      <w:proofErr w:type="spellEnd"/>
      <w:r w:rsidRPr="00AE0D8F">
        <w:rPr>
          <w:rFonts w:ascii="Times New Roman" w:eastAsia="Times New Roman" w:hAnsi="Times New Roman" w:cs="Times New Roman"/>
          <w:sz w:val="28"/>
          <w:szCs w:val="28"/>
          <w:lang w:eastAsia="es-ES"/>
        </w:rPr>
        <w:t xml:space="preserve">, las bellísimas </w:t>
      </w:r>
      <w:proofErr w:type="spellStart"/>
      <w:r w:rsidRPr="00AE0D8F">
        <w:rPr>
          <w:rFonts w:ascii="Times New Roman" w:eastAsia="Times New Roman" w:hAnsi="Times New Roman" w:cs="Times New Roman"/>
          <w:sz w:val="28"/>
          <w:szCs w:val="28"/>
          <w:lang w:eastAsia="es-ES"/>
        </w:rPr>
        <w:t>poincianas</w:t>
      </w:r>
      <w:proofErr w:type="spellEnd"/>
      <w:r w:rsidRPr="00AE0D8F">
        <w:rPr>
          <w:rFonts w:ascii="Times New Roman" w:eastAsia="Times New Roman" w:hAnsi="Times New Roman" w:cs="Times New Roman"/>
          <w:sz w:val="28"/>
          <w:szCs w:val="28"/>
          <w:lang w:eastAsia="es-ES"/>
        </w:rPr>
        <w:t xml:space="preserve"> o la deslumbrante brillantísima y tantos otros que añaden aro</w:t>
      </w:r>
      <w:r>
        <w:rPr>
          <w:rFonts w:ascii="Times New Roman" w:eastAsia="Times New Roman" w:hAnsi="Times New Roman" w:cs="Times New Roman"/>
          <w:sz w:val="28"/>
          <w:szCs w:val="28"/>
          <w:lang w:eastAsia="es-ES"/>
        </w:rPr>
        <w:t>m</w:t>
      </w:r>
      <w:r w:rsidRPr="00AE0D8F">
        <w:rPr>
          <w:rFonts w:ascii="Times New Roman" w:eastAsia="Times New Roman" w:hAnsi="Times New Roman" w:cs="Times New Roman"/>
          <w:sz w:val="28"/>
          <w:szCs w:val="28"/>
          <w:lang w:eastAsia="es-ES"/>
        </w:rPr>
        <w:t>a vistosidad y color.</w:t>
      </w:r>
    </w:p>
    <w:p w:rsidR="00AE0D8F" w:rsidRDefault="00AE0D8F" w:rsidP="00AE0D8F">
      <w:pPr>
        <w:spacing w:before="100" w:beforeAutospacing="1" w:after="100" w:afterAutospacing="1" w:line="360" w:lineRule="auto"/>
        <w:jc w:val="both"/>
        <w:outlineLvl w:val="4"/>
        <w:rPr>
          <w:rFonts w:ascii="Times New Roman" w:eastAsia="Times New Roman" w:hAnsi="Times New Roman" w:cs="Times New Roman"/>
          <w:b/>
          <w:bCs/>
          <w:sz w:val="28"/>
          <w:szCs w:val="28"/>
          <w:lang w:eastAsia="es-ES"/>
        </w:rPr>
      </w:pPr>
      <w:r w:rsidRPr="00AE0D8F">
        <w:rPr>
          <w:rFonts w:ascii="Times New Roman" w:eastAsia="Times New Roman" w:hAnsi="Times New Roman" w:cs="Times New Roman"/>
          <w:b/>
          <w:bCs/>
          <w:sz w:val="28"/>
          <w:szCs w:val="28"/>
          <w:lang w:eastAsia="es-ES"/>
        </w:rPr>
        <w:lastRenderedPageBreak/>
        <w:t>Datos históricos</w:t>
      </w:r>
      <w:r>
        <w:rPr>
          <w:rFonts w:ascii="Times New Roman" w:eastAsia="Times New Roman" w:hAnsi="Times New Roman" w:cs="Times New Roman"/>
          <w:b/>
          <w:bCs/>
          <w:sz w:val="28"/>
          <w:szCs w:val="28"/>
          <w:lang w:eastAsia="es-ES"/>
        </w:rPr>
        <w:t>:</w:t>
      </w:r>
    </w:p>
    <w:p w:rsidR="004F3F60" w:rsidRPr="00AE0D8F" w:rsidRDefault="004F3F60" w:rsidP="004F3F60">
      <w:pPr>
        <w:spacing w:before="100" w:beforeAutospacing="1" w:after="100" w:afterAutospacing="1" w:line="360" w:lineRule="auto"/>
        <w:jc w:val="center"/>
        <w:outlineLvl w:val="4"/>
        <w:rPr>
          <w:rFonts w:ascii="Times New Roman" w:eastAsia="Times New Roman" w:hAnsi="Times New Roman" w:cs="Times New Roman"/>
          <w:b/>
          <w:bCs/>
          <w:sz w:val="28"/>
          <w:szCs w:val="28"/>
          <w:lang w:eastAsia="es-ES"/>
        </w:rPr>
      </w:pPr>
      <w:r>
        <w:rPr>
          <w:rFonts w:ascii="Times New Roman" w:eastAsia="Times New Roman" w:hAnsi="Times New Roman" w:cs="Times New Roman"/>
          <w:b/>
          <w:bCs/>
          <w:noProof/>
          <w:sz w:val="28"/>
          <w:szCs w:val="28"/>
          <w:lang w:eastAsia="es-ES"/>
        </w:rPr>
        <w:drawing>
          <wp:inline distT="0" distB="0" distL="0" distR="0">
            <wp:extent cx="4922354" cy="3333750"/>
            <wp:effectExtent l="0" t="0" r="0" b="0"/>
            <wp:docPr id="4" name="Imagen 4" descr="C:\Users\Ernesto\Desktop\Casa del agua 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nesto\Desktop\Casa del agua 17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354" cy="3333750"/>
                    </a:xfrm>
                    <a:prstGeom prst="rect">
                      <a:avLst/>
                    </a:prstGeom>
                    <a:noFill/>
                    <a:ln>
                      <a:noFill/>
                    </a:ln>
                  </pic:spPr>
                </pic:pic>
              </a:graphicData>
            </a:graphic>
          </wp:inline>
        </w:drawing>
      </w:r>
    </w:p>
    <w:p w:rsidR="00092AC1" w:rsidRDefault="00AE0D8F" w:rsidP="00AE0D8F">
      <w:pPr>
        <w:spacing w:before="100" w:beforeAutospacing="1" w:after="100" w:afterAutospacing="1" w:line="360" w:lineRule="auto"/>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 xml:space="preserve">Los jardines de interés cultural que han pervivido en Cádiz y su provincia pertenecen, en su mayoría, al ámbito público (parques, paseos y plazas) aunque existe también una buena representación de los ligados a los grandes edificios palaciegos, a viviendas burguesas o a espacios de trabajo, como es el caso de algunas bodegas. Desgraciadamente, los fuertes procesos de transformación que han sufrido muchos de los edificios conventuales ocasionado que queden escasos ejemplos de esta tipología. </w:t>
      </w:r>
      <w:r w:rsidRPr="00AE0D8F">
        <w:rPr>
          <w:rFonts w:ascii="Times New Roman" w:eastAsia="Times New Roman" w:hAnsi="Times New Roman" w:cs="Times New Roman"/>
          <w:sz w:val="28"/>
          <w:szCs w:val="28"/>
          <w:lang w:eastAsia="es-ES"/>
        </w:rPr>
        <w:br/>
        <w:t xml:space="preserve">La muestra que ha pervivido pertenece a muy distintas épocas remontándose el más antiguo que se conserva al siglo XVI y existiendo un predominio de los que tienen su origen en el siglo XIX. </w:t>
      </w:r>
      <w:r w:rsidRPr="00AE0D8F">
        <w:rPr>
          <w:rFonts w:ascii="Times New Roman" w:eastAsia="Times New Roman" w:hAnsi="Times New Roman" w:cs="Times New Roman"/>
          <w:sz w:val="28"/>
          <w:szCs w:val="28"/>
          <w:lang w:eastAsia="es-ES"/>
        </w:rPr>
        <w:br/>
        <w:t xml:space="preserve">Los estilos más frecuentes son el Romanticismo (Historicista, Pintoresco, Paisajista y Morisco), </w:t>
      </w:r>
      <w:proofErr w:type="gramStart"/>
      <w:r w:rsidRPr="00AE0D8F">
        <w:rPr>
          <w:rFonts w:ascii="Times New Roman" w:eastAsia="Times New Roman" w:hAnsi="Times New Roman" w:cs="Times New Roman"/>
          <w:sz w:val="28"/>
          <w:szCs w:val="28"/>
          <w:lang w:eastAsia="es-ES"/>
        </w:rPr>
        <w:t>Francés</w:t>
      </w:r>
      <w:proofErr w:type="gramEnd"/>
      <w:r w:rsidRPr="00AE0D8F">
        <w:rPr>
          <w:rFonts w:ascii="Times New Roman" w:eastAsia="Times New Roman" w:hAnsi="Times New Roman" w:cs="Times New Roman"/>
          <w:sz w:val="28"/>
          <w:szCs w:val="28"/>
          <w:lang w:eastAsia="es-ES"/>
        </w:rPr>
        <w:t xml:space="preserve"> (Geométrico), Modernista, Regionalista y Clasicista. </w:t>
      </w:r>
      <w:r w:rsidRPr="00AE0D8F">
        <w:rPr>
          <w:rFonts w:ascii="Times New Roman" w:eastAsia="Times New Roman" w:hAnsi="Times New Roman" w:cs="Times New Roman"/>
          <w:sz w:val="28"/>
          <w:szCs w:val="28"/>
          <w:lang w:eastAsia="es-ES"/>
        </w:rPr>
        <w:br/>
        <w:t xml:space="preserve">Son muchos los jardines de Cádiz de los que se desconoce su autor. Los autores conocidos provienen en algún caso de la vida pública (Eduardo </w:t>
      </w:r>
      <w:r w:rsidRPr="00AE0D8F">
        <w:rPr>
          <w:rFonts w:ascii="Times New Roman" w:eastAsia="Times New Roman" w:hAnsi="Times New Roman" w:cs="Times New Roman"/>
          <w:sz w:val="28"/>
          <w:szCs w:val="28"/>
          <w:lang w:eastAsia="es-ES"/>
        </w:rPr>
        <w:lastRenderedPageBreak/>
        <w:t xml:space="preserve">Genovés y </w:t>
      </w:r>
      <w:proofErr w:type="spellStart"/>
      <w:r w:rsidRPr="00AE0D8F">
        <w:rPr>
          <w:rFonts w:ascii="Times New Roman" w:eastAsia="Times New Roman" w:hAnsi="Times New Roman" w:cs="Times New Roman"/>
          <w:sz w:val="28"/>
          <w:szCs w:val="28"/>
          <w:lang w:eastAsia="es-ES"/>
        </w:rPr>
        <w:t>Puit</w:t>
      </w:r>
      <w:proofErr w:type="spellEnd"/>
      <w:r w:rsidRPr="00AE0D8F">
        <w:rPr>
          <w:rFonts w:ascii="Times New Roman" w:eastAsia="Times New Roman" w:hAnsi="Times New Roman" w:cs="Times New Roman"/>
          <w:sz w:val="28"/>
          <w:szCs w:val="28"/>
          <w:lang w:eastAsia="es-ES"/>
        </w:rPr>
        <w:t xml:space="preserve"> que fue Alcalde de Cádiz) pero predominan los del mundo de la arquitectura (Guillermo Thompson, Juan Talavera, Juan de la Vega). </w:t>
      </w:r>
      <w:proofErr w:type="spellStart"/>
      <w:r w:rsidRPr="00AE0D8F">
        <w:rPr>
          <w:rFonts w:ascii="Times New Roman" w:eastAsia="Times New Roman" w:hAnsi="Times New Roman" w:cs="Times New Roman"/>
          <w:sz w:val="28"/>
          <w:szCs w:val="28"/>
          <w:lang w:eastAsia="es-ES"/>
        </w:rPr>
        <w:t>Planimétricamente</w:t>
      </w:r>
      <w:proofErr w:type="spellEnd"/>
      <w:r w:rsidRPr="00AE0D8F">
        <w:rPr>
          <w:rFonts w:ascii="Times New Roman" w:eastAsia="Times New Roman" w:hAnsi="Times New Roman" w:cs="Times New Roman"/>
          <w:sz w:val="28"/>
          <w:szCs w:val="28"/>
          <w:lang w:eastAsia="es-ES"/>
        </w:rPr>
        <w:t>, presentan una variada tipología sin que pueda hallarse una tónica predominante adaptándose a los espacios urbanos en los que se ubican (alamedas, paseos, vacíos urbanos que se destinan a este uso). Encontramos así plantas rectangulares, trapezoidales, rectangulares, cuadradas, etc.</w:t>
      </w:r>
    </w:p>
    <w:p w:rsidR="004F3F60" w:rsidRDefault="004F3F60" w:rsidP="004F3F60">
      <w:pPr>
        <w:spacing w:before="100" w:beforeAutospacing="1" w:after="100" w:afterAutospacing="1" w:line="36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noProof/>
          <w:sz w:val="28"/>
          <w:szCs w:val="28"/>
          <w:lang w:eastAsia="es-ES"/>
        </w:rPr>
        <w:drawing>
          <wp:inline distT="0" distB="0" distL="0" distR="0">
            <wp:extent cx="2959100" cy="4671896"/>
            <wp:effectExtent l="0" t="0" r="0" b="0"/>
            <wp:docPr id="5" name="Imagen 5" descr="C:\Users\Ernesto\Desktop\El Porveni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nesto\Desktop\El Porvenir.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0573" cy="4674221"/>
                    </a:xfrm>
                    <a:prstGeom prst="rect">
                      <a:avLst/>
                    </a:prstGeom>
                    <a:noFill/>
                    <a:ln>
                      <a:noFill/>
                    </a:ln>
                  </pic:spPr>
                </pic:pic>
              </a:graphicData>
            </a:graphic>
          </wp:inline>
        </w:drawing>
      </w:r>
    </w:p>
    <w:p w:rsidR="00AE0D8F" w:rsidRDefault="00AE0D8F" w:rsidP="00AE0D8F">
      <w:pPr>
        <w:spacing w:before="100" w:beforeAutospacing="1" w:after="100" w:afterAutospacing="1" w:line="360" w:lineRule="auto"/>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 xml:space="preserve">Los elementos decorativos son de muy distintas naturalezas y estilos predominando el monumento tradicional (al Marqués de Comillas, al aviador Durán González, a Rubén Darío, a la Duquesa de la Victoria, a José María </w:t>
      </w:r>
      <w:proofErr w:type="spellStart"/>
      <w:r w:rsidRPr="00AE0D8F">
        <w:rPr>
          <w:rFonts w:ascii="Times New Roman" w:eastAsia="Times New Roman" w:hAnsi="Times New Roman" w:cs="Times New Roman"/>
          <w:sz w:val="28"/>
          <w:szCs w:val="28"/>
          <w:lang w:eastAsia="es-ES"/>
        </w:rPr>
        <w:t>Pemán</w:t>
      </w:r>
      <w:proofErr w:type="spellEnd"/>
      <w:r w:rsidRPr="00AE0D8F">
        <w:rPr>
          <w:rFonts w:ascii="Times New Roman" w:eastAsia="Times New Roman" w:hAnsi="Times New Roman" w:cs="Times New Roman"/>
          <w:sz w:val="28"/>
          <w:szCs w:val="28"/>
          <w:lang w:eastAsia="es-ES"/>
        </w:rPr>
        <w:t xml:space="preserve">, a Félix Rodríguez de la Fuente, a César Vallejo y a Castelar), los bustos de personajes históricos, esculturas clásicas y de </w:t>
      </w:r>
      <w:r w:rsidRPr="00AE0D8F">
        <w:rPr>
          <w:rFonts w:ascii="Times New Roman" w:eastAsia="Times New Roman" w:hAnsi="Times New Roman" w:cs="Times New Roman"/>
          <w:sz w:val="28"/>
          <w:szCs w:val="28"/>
          <w:lang w:eastAsia="es-ES"/>
        </w:rPr>
        <w:lastRenderedPageBreak/>
        <w:t xml:space="preserve">temática religiosa (Beato Fray Diego de Cádiz, Santa Rosa de Viterbo, San José y San Pedro) y elementos de mobiliario urbano como farolas y bancos. </w:t>
      </w:r>
      <w:r w:rsidRPr="00AE0D8F">
        <w:rPr>
          <w:rFonts w:ascii="Times New Roman" w:eastAsia="Times New Roman" w:hAnsi="Times New Roman" w:cs="Times New Roman"/>
          <w:sz w:val="28"/>
          <w:szCs w:val="28"/>
          <w:lang w:eastAsia="es-ES"/>
        </w:rPr>
        <w:br/>
        <w:t xml:space="preserve">Entre las especies vegetales, las autóctonas están en mescolanza con otras de todo el planeta: Acacias, acebuches, adelfas, aguacates, alcornoques, naranjos, limoneros, aligustres, araucarias, Árbol del amor, Árbol de los dioses, cipreses, </w:t>
      </w:r>
      <w:proofErr w:type="spellStart"/>
      <w:r w:rsidRPr="00AE0D8F">
        <w:rPr>
          <w:rFonts w:ascii="Times New Roman" w:eastAsia="Times New Roman" w:hAnsi="Times New Roman" w:cs="Times New Roman"/>
          <w:sz w:val="28"/>
          <w:szCs w:val="28"/>
          <w:lang w:eastAsia="es-ES"/>
        </w:rPr>
        <w:t>macrocarpas</w:t>
      </w:r>
      <w:proofErr w:type="spellEnd"/>
      <w:r w:rsidRPr="00AE0D8F">
        <w:rPr>
          <w:rFonts w:ascii="Times New Roman" w:eastAsia="Times New Roman" w:hAnsi="Times New Roman" w:cs="Times New Roman"/>
          <w:sz w:val="28"/>
          <w:szCs w:val="28"/>
          <w:lang w:eastAsia="es-ES"/>
        </w:rPr>
        <w:t xml:space="preserve">, eucaliptos, </w:t>
      </w:r>
      <w:proofErr w:type="spellStart"/>
      <w:r w:rsidRPr="00AE0D8F">
        <w:rPr>
          <w:rFonts w:ascii="Times New Roman" w:eastAsia="Times New Roman" w:hAnsi="Times New Roman" w:cs="Times New Roman"/>
          <w:sz w:val="28"/>
          <w:szCs w:val="28"/>
          <w:lang w:eastAsia="es-ES"/>
        </w:rPr>
        <w:t>fícus</w:t>
      </w:r>
      <w:proofErr w:type="spellEnd"/>
      <w:r w:rsidRPr="00AE0D8F">
        <w:rPr>
          <w:rFonts w:ascii="Times New Roman" w:eastAsia="Times New Roman" w:hAnsi="Times New Roman" w:cs="Times New Roman"/>
          <w:sz w:val="28"/>
          <w:szCs w:val="28"/>
          <w:lang w:eastAsia="es-ES"/>
        </w:rPr>
        <w:t xml:space="preserve">, </w:t>
      </w:r>
      <w:proofErr w:type="spellStart"/>
      <w:r w:rsidRPr="00AE0D8F">
        <w:rPr>
          <w:rFonts w:ascii="Times New Roman" w:eastAsia="Times New Roman" w:hAnsi="Times New Roman" w:cs="Times New Roman"/>
          <w:sz w:val="28"/>
          <w:szCs w:val="28"/>
          <w:lang w:eastAsia="es-ES"/>
        </w:rPr>
        <w:t>grevillea</w:t>
      </w:r>
      <w:proofErr w:type="spellEnd"/>
      <w:r w:rsidRPr="00AE0D8F">
        <w:rPr>
          <w:rFonts w:ascii="Times New Roman" w:eastAsia="Times New Roman" w:hAnsi="Times New Roman" w:cs="Times New Roman"/>
          <w:sz w:val="28"/>
          <w:szCs w:val="28"/>
          <w:lang w:eastAsia="es-ES"/>
        </w:rPr>
        <w:t xml:space="preserve">, hibisco de china, jacaranda, laurel, nogal americano, olmos </w:t>
      </w:r>
      <w:proofErr w:type="spellStart"/>
      <w:r w:rsidRPr="00AE0D8F">
        <w:rPr>
          <w:rFonts w:ascii="Times New Roman" w:eastAsia="Times New Roman" w:hAnsi="Times New Roman" w:cs="Times New Roman"/>
          <w:sz w:val="28"/>
          <w:szCs w:val="28"/>
          <w:lang w:eastAsia="es-ES"/>
        </w:rPr>
        <w:t>pumila</w:t>
      </w:r>
      <w:proofErr w:type="spellEnd"/>
      <w:r w:rsidRPr="00AE0D8F">
        <w:rPr>
          <w:rFonts w:ascii="Times New Roman" w:eastAsia="Times New Roman" w:hAnsi="Times New Roman" w:cs="Times New Roman"/>
          <w:sz w:val="28"/>
          <w:szCs w:val="28"/>
          <w:lang w:eastAsia="es-ES"/>
        </w:rPr>
        <w:t xml:space="preserve">, palmera canaria, pinos (pinsapos), magnolios, pitos </w:t>
      </w:r>
      <w:proofErr w:type="spellStart"/>
      <w:r w:rsidRPr="00AE0D8F">
        <w:rPr>
          <w:rFonts w:ascii="Times New Roman" w:eastAsia="Times New Roman" w:hAnsi="Times New Roman" w:cs="Times New Roman"/>
          <w:sz w:val="28"/>
          <w:szCs w:val="28"/>
          <w:lang w:eastAsia="es-ES"/>
        </w:rPr>
        <w:t>porum</w:t>
      </w:r>
      <w:proofErr w:type="spellEnd"/>
      <w:r w:rsidRPr="00AE0D8F">
        <w:rPr>
          <w:rFonts w:ascii="Times New Roman" w:eastAsia="Times New Roman" w:hAnsi="Times New Roman" w:cs="Times New Roman"/>
          <w:sz w:val="28"/>
          <w:szCs w:val="28"/>
          <w:lang w:eastAsia="es-ES"/>
        </w:rPr>
        <w:t>, jacarandas, celindos, jazmines, etc.</w:t>
      </w:r>
    </w:p>
    <w:p w:rsidR="004F3F60" w:rsidRPr="00AE0D8F" w:rsidRDefault="004F3F60" w:rsidP="004F3F60">
      <w:pPr>
        <w:spacing w:before="100" w:beforeAutospacing="1" w:after="100" w:afterAutospacing="1" w:line="360" w:lineRule="auto"/>
        <w:jc w:val="center"/>
        <w:rPr>
          <w:rFonts w:ascii="Times New Roman" w:eastAsia="Times New Roman" w:hAnsi="Times New Roman" w:cs="Times New Roman"/>
          <w:sz w:val="28"/>
          <w:szCs w:val="28"/>
          <w:lang w:eastAsia="es-ES"/>
        </w:rPr>
      </w:pPr>
      <w:bookmarkStart w:id="0" w:name="_GoBack"/>
      <w:r>
        <w:rPr>
          <w:rFonts w:ascii="Times New Roman" w:eastAsia="Times New Roman" w:hAnsi="Times New Roman" w:cs="Times New Roman"/>
          <w:noProof/>
          <w:sz w:val="28"/>
          <w:szCs w:val="28"/>
          <w:lang w:eastAsia="es-ES"/>
        </w:rPr>
        <w:drawing>
          <wp:inline distT="0" distB="0" distL="0" distR="0">
            <wp:extent cx="3998415" cy="2527300"/>
            <wp:effectExtent l="0" t="0" r="2540" b="6350"/>
            <wp:docPr id="6" name="Imagen 6" descr="C:\Users\Ernesto\Desktop\Fuente Porve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nesto\Desktop\Fuente Porveni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8415" cy="2527300"/>
                    </a:xfrm>
                    <a:prstGeom prst="rect">
                      <a:avLst/>
                    </a:prstGeom>
                    <a:noFill/>
                    <a:ln>
                      <a:noFill/>
                    </a:ln>
                  </pic:spPr>
                </pic:pic>
              </a:graphicData>
            </a:graphic>
          </wp:inline>
        </w:drawing>
      </w:r>
      <w:bookmarkEnd w:id="0"/>
    </w:p>
    <w:p w:rsidR="00AE0D8F" w:rsidRPr="00AE0D8F" w:rsidRDefault="00AE0D8F" w:rsidP="00AE0D8F">
      <w:pPr>
        <w:spacing w:before="100" w:beforeAutospacing="1" w:after="100" w:afterAutospacing="1" w:line="360" w:lineRule="auto"/>
        <w:jc w:val="both"/>
        <w:outlineLvl w:val="3"/>
        <w:rPr>
          <w:rFonts w:ascii="Times New Roman" w:eastAsia="Times New Roman" w:hAnsi="Times New Roman" w:cs="Times New Roman"/>
          <w:b/>
          <w:bCs/>
          <w:sz w:val="28"/>
          <w:szCs w:val="28"/>
          <w:lang w:eastAsia="es-ES"/>
        </w:rPr>
      </w:pPr>
      <w:bookmarkStart w:id="1" w:name="_proteccion"/>
      <w:bookmarkEnd w:id="1"/>
      <w:r w:rsidRPr="00AE0D8F">
        <w:rPr>
          <w:rFonts w:ascii="Times New Roman" w:eastAsia="Times New Roman" w:hAnsi="Times New Roman" w:cs="Times New Roman"/>
          <w:b/>
          <w:bCs/>
          <w:sz w:val="28"/>
          <w:szCs w:val="28"/>
          <w:lang w:eastAsia="es-ES"/>
        </w:rPr>
        <w:t>PROTECCIÓN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9"/>
        <w:gridCol w:w="1047"/>
        <w:gridCol w:w="2027"/>
        <w:gridCol w:w="1587"/>
        <w:gridCol w:w="1154"/>
        <w:gridCol w:w="980"/>
        <w:gridCol w:w="876"/>
      </w:tblGrid>
      <w:tr w:rsidR="00AE0D8F" w:rsidRPr="00AE0D8F" w:rsidTr="00AE0D8F">
        <w:trPr>
          <w:tblCellSpacing w:w="15" w:type="dxa"/>
        </w:trPr>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b/>
                <w:bCs/>
                <w:sz w:val="24"/>
                <w:szCs w:val="24"/>
                <w:lang w:eastAsia="es-ES"/>
              </w:rPr>
            </w:pPr>
            <w:r w:rsidRPr="00E6347F">
              <w:rPr>
                <w:rFonts w:ascii="Times New Roman" w:eastAsia="Times New Roman" w:hAnsi="Times New Roman" w:cs="Times New Roman"/>
                <w:b/>
                <w:bCs/>
                <w:sz w:val="24"/>
                <w:szCs w:val="24"/>
                <w:lang w:eastAsia="es-ES"/>
              </w:rPr>
              <w:t>Estado</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b/>
                <w:bCs/>
                <w:sz w:val="24"/>
                <w:szCs w:val="24"/>
                <w:lang w:eastAsia="es-ES"/>
              </w:rPr>
            </w:pPr>
            <w:r w:rsidRPr="00E6347F">
              <w:rPr>
                <w:rFonts w:ascii="Times New Roman" w:eastAsia="Times New Roman" w:hAnsi="Times New Roman" w:cs="Times New Roman"/>
                <w:b/>
                <w:bCs/>
                <w:sz w:val="24"/>
                <w:szCs w:val="24"/>
                <w:lang w:eastAsia="es-ES"/>
              </w:rPr>
              <w:t>Régimen</w:t>
            </w:r>
            <w:r w:rsidR="00E6347F">
              <w:rPr>
                <w:rFonts w:ascii="Times New Roman" w:eastAsia="Times New Roman" w:hAnsi="Times New Roman" w:cs="Times New Roman"/>
                <w:b/>
                <w:bCs/>
                <w:sz w:val="24"/>
                <w:szCs w:val="24"/>
                <w:lang w:eastAsia="es-ES"/>
              </w:rPr>
              <w:t>-</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b/>
                <w:bCs/>
                <w:sz w:val="24"/>
                <w:szCs w:val="24"/>
                <w:lang w:eastAsia="es-ES"/>
              </w:rPr>
            </w:pPr>
            <w:r w:rsidRPr="00E6347F">
              <w:rPr>
                <w:rFonts w:ascii="Times New Roman" w:eastAsia="Times New Roman" w:hAnsi="Times New Roman" w:cs="Times New Roman"/>
                <w:b/>
                <w:bCs/>
                <w:sz w:val="24"/>
                <w:szCs w:val="24"/>
                <w:lang w:eastAsia="es-ES"/>
              </w:rPr>
              <w:t>Tipología Jurídica</w:t>
            </w:r>
            <w:r w:rsidR="00E6347F">
              <w:rPr>
                <w:rFonts w:ascii="Times New Roman" w:eastAsia="Times New Roman" w:hAnsi="Times New Roman" w:cs="Times New Roman"/>
                <w:b/>
                <w:bCs/>
                <w:sz w:val="24"/>
                <w:szCs w:val="24"/>
                <w:lang w:eastAsia="es-ES"/>
              </w:rPr>
              <w:t>-</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b/>
                <w:bCs/>
                <w:sz w:val="24"/>
                <w:szCs w:val="24"/>
                <w:lang w:eastAsia="es-ES"/>
              </w:rPr>
            </w:pPr>
            <w:r w:rsidRPr="00E6347F">
              <w:rPr>
                <w:rFonts w:ascii="Times New Roman" w:eastAsia="Times New Roman" w:hAnsi="Times New Roman" w:cs="Times New Roman"/>
                <w:b/>
                <w:bCs/>
                <w:sz w:val="24"/>
                <w:szCs w:val="24"/>
                <w:lang w:eastAsia="es-ES"/>
              </w:rPr>
              <w:t>Publicado</w:t>
            </w:r>
            <w:r w:rsidR="00E6347F">
              <w:rPr>
                <w:rFonts w:ascii="Times New Roman" w:eastAsia="Times New Roman" w:hAnsi="Times New Roman" w:cs="Times New Roman"/>
                <w:b/>
                <w:bCs/>
                <w:sz w:val="24"/>
                <w:szCs w:val="24"/>
                <w:lang w:eastAsia="es-ES"/>
              </w:rPr>
              <w:t xml:space="preserve">-  </w:t>
            </w:r>
            <w:r w:rsidRPr="00E6347F">
              <w:rPr>
                <w:rFonts w:ascii="Times New Roman" w:eastAsia="Times New Roman" w:hAnsi="Times New Roman" w:cs="Times New Roman"/>
                <w:b/>
                <w:bCs/>
                <w:sz w:val="24"/>
                <w:szCs w:val="24"/>
                <w:lang w:eastAsia="es-ES"/>
              </w:rPr>
              <w:t xml:space="preserve"> en</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b/>
                <w:bCs/>
                <w:sz w:val="24"/>
                <w:szCs w:val="24"/>
                <w:lang w:eastAsia="es-ES"/>
              </w:rPr>
            </w:pPr>
            <w:r w:rsidRPr="00E6347F">
              <w:rPr>
                <w:rFonts w:ascii="Times New Roman" w:eastAsia="Times New Roman" w:hAnsi="Times New Roman" w:cs="Times New Roman"/>
                <w:b/>
                <w:bCs/>
                <w:sz w:val="24"/>
                <w:szCs w:val="24"/>
                <w:lang w:eastAsia="es-ES"/>
              </w:rPr>
              <w:t>Fecha</w:t>
            </w:r>
            <w:r w:rsidR="00E6347F">
              <w:rPr>
                <w:rFonts w:ascii="Times New Roman" w:eastAsia="Times New Roman" w:hAnsi="Times New Roman" w:cs="Times New Roman"/>
                <w:b/>
                <w:bCs/>
                <w:sz w:val="24"/>
                <w:szCs w:val="24"/>
                <w:lang w:eastAsia="es-ES"/>
              </w:rPr>
              <w:t>-</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b/>
                <w:bCs/>
                <w:sz w:val="24"/>
                <w:szCs w:val="24"/>
                <w:lang w:eastAsia="es-ES"/>
              </w:rPr>
            </w:pPr>
            <w:r w:rsidRPr="00E6347F">
              <w:rPr>
                <w:rFonts w:ascii="Times New Roman" w:eastAsia="Times New Roman" w:hAnsi="Times New Roman" w:cs="Times New Roman"/>
                <w:b/>
                <w:bCs/>
                <w:sz w:val="24"/>
                <w:szCs w:val="24"/>
                <w:lang w:eastAsia="es-ES"/>
              </w:rPr>
              <w:t>Número</w:t>
            </w:r>
            <w:r w:rsidR="00E6347F">
              <w:rPr>
                <w:rFonts w:ascii="Times New Roman" w:eastAsia="Times New Roman" w:hAnsi="Times New Roman" w:cs="Times New Roman"/>
                <w:b/>
                <w:bCs/>
                <w:sz w:val="24"/>
                <w:szCs w:val="24"/>
                <w:lang w:eastAsia="es-ES"/>
              </w:rPr>
              <w:t>-</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b/>
                <w:bCs/>
                <w:sz w:val="24"/>
                <w:szCs w:val="24"/>
                <w:lang w:eastAsia="es-ES"/>
              </w:rPr>
            </w:pPr>
            <w:r w:rsidRPr="00E6347F">
              <w:rPr>
                <w:rFonts w:ascii="Times New Roman" w:eastAsia="Times New Roman" w:hAnsi="Times New Roman" w:cs="Times New Roman"/>
                <w:b/>
                <w:bCs/>
                <w:sz w:val="24"/>
                <w:szCs w:val="24"/>
                <w:lang w:eastAsia="es-ES"/>
              </w:rPr>
              <w:t>Página</w:t>
            </w:r>
            <w:r w:rsidR="00E6347F">
              <w:rPr>
                <w:rFonts w:ascii="Times New Roman" w:eastAsia="Times New Roman" w:hAnsi="Times New Roman" w:cs="Times New Roman"/>
                <w:b/>
                <w:bCs/>
                <w:sz w:val="24"/>
                <w:szCs w:val="24"/>
                <w:lang w:eastAsia="es-ES"/>
              </w:rPr>
              <w:t>s</w:t>
            </w:r>
          </w:p>
        </w:tc>
      </w:tr>
      <w:tr w:rsidR="00AE0D8F" w:rsidRPr="00AE0D8F" w:rsidTr="00AE0D8F">
        <w:trPr>
          <w:tblCellSpacing w:w="15" w:type="dxa"/>
        </w:trPr>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sz w:val="24"/>
                <w:szCs w:val="24"/>
                <w:lang w:eastAsia="es-ES"/>
              </w:rPr>
            </w:pPr>
            <w:r w:rsidRPr="00E6347F">
              <w:rPr>
                <w:rFonts w:ascii="Times New Roman" w:eastAsia="Times New Roman" w:hAnsi="Times New Roman" w:cs="Times New Roman"/>
                <w:sz w:val="24"/>
                <w:szCs w:val="24"/>
                <w:lang w:eastAsia="es-ES"/>
              </w:rPr>
              <w:t>Inscrito</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sz w:val="24"/>
                <w:szCs w:val="24"/>
                <w:lang w:eastAsia="es-ES"/>
              </w:rPr>
            </w:pPr>
            <w:r w:rsidRPr="00E6347F">
              <w:rPr>
                <w:rFonts w:ascii="Times New Roman" w:eastAsia="Times New Roman" w:hAnsi="Times New Roman" w:cs="Times New Roman"/>
                <w:sz w:val="24"/>
                <w:szCs w:val="24"/>
                <w:lang w:eastAsia="es-ES"/>
              </w:rPr>
              <w:t>CG</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sz w:val="24"/>
                <w:szCs w:val="24"/>
                <w:lang w:eastAsia="es-ES"/>
              </w:rPr>
            </w:pP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sz w:val="24"/>
                <w:szCs w:val="24"/>
                <w:lang w:eastAsia="es-ES"/>
              </w:rPr>
            </w:pPr>
            <w:r w:rsidRPr="00E6347F">
              <w:rPr>
                <w:rFonts w:ascii="Times New Roman" w:eastAsia="Times New Roman" w:hAnsi="Times New Roman" w:cs="Times New Roman"/>
                <w:sz w:val="24"/>
                <w:szCs w:val="24"/>
                <w:lang w:eastAsia="es-ES"/>
              </w:rPr>
              <w:t>BOJA</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sz w:val="24"/>
                <w:szCs w:val="24"/>
                <w:lang w:eastAsia="es-ES"/>
              </w:rPr>
            </w:pPr>
            <w:r w:rsidRPr="00E6347F">
              <w:rPr>
                <w:rFonts w:ascii="Times New Roman" w:eastAsia="Times New Roman" w:hAnsi="Times New Roman" w:cs="Times New Roman"/>
                <w:sz w:val="24"/>
                <w:szCs w:val="24"/>
                <w:lang w:eastAsia="es-ES"/>
              </w:rPr>
              <w:t>19/03/2004</w:t>
            </w:r>
          </w:p>
        </w:tc>
        <w:tc>
          <w:tcPr>
            <w:tcW w:w="0" w:type="auto"/>
            <w:vAlign w:val="center"/>
            <w:hideMark/>
          </w:tcPr>
          <w:p w:rsidR="00AE0D8F" w:rsidRPr="00E6347F" w:rsidRDefault="00E6347F" w:rsidP="00AE0D8F">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AE0D8F" w:rsidRPr="00E6347F">
              <w:rPr>
                <w:rFonts w:ascii="Times New Roman" w:eastAsia="Times New Roman" w:hAnsi="Times New Roman" w:cs="Times New Roman"/>
                <w:sz w:val="24"/>
                <w:szCs w:val="24"/>
                <w:lang w:eastAsia="es-ES"/>
              </w:rPr>
              <w:t>55</w:t>
            </w:r>
          </w:p>
        </w:tc>
        <w:tc>
          <w:tcPr>
            <w:tcW w:w="0" w:type="auto"/>
            <w:vAlign w:val="center"/>
            <w:hideMark/>
          </w:tcPr>
          <w:p w:rsidR="00AE0D8F" w:rsidRPr="00E6347F" w:rsidRDefault="00AE0D8F" w:rsidP="00AE0D8F">
            <w:pPr>
              <w:spacing w:after="0" w:line="360" w:lineRule="auto"/>
              <w:jc w:val="both"/>
              <w:rPr>
                <w:rFonts w:ascii="Times New Roman" w:eastAsia="Times New Roman" w:hAnsi="Times New Roman" w:cs="Times New Roman"/>
                <w:sz w:val="24"/>
                <w:szCs w:val="24"/>
                <w:lang w:eastAsia="es-ES"/>
              </w:rPr>
            </w:pPr>
            <w:r w:rsidRPr="00E6347F">
              <w:rPr>
                <w:rFonts w:ascii="Times New Roman" w:eastAsia="Times New Roman" w:hAnsi="Times New Roman" w:cs="Times New Roman"/>
                <w:sz w:val="24"/>
                <w:szCs w:val="24"/>
                <w:lang w:eastAsia="es-ES"/>
              </w:rPr>
              <w:t>6981</w:t>
            </w:r>
          </w:p>
        </w:tc>
      </w:tr>
    </w:tbl>
    <w:p w:rsidR="00AE0D8F" w:rsidRPr="00AE0D8F" w:rsidRDefault="00AE0D8F" w:rsidP="00AE0D8F">
      <w:pPr>
        <w:spacing w:before="100" w:beforeAutospacing="1" w:after="100" w:afterAutospacing="1" w:line="360" w:lineRule="auto"/>
        <w:jc w:val="both"/>
        <w:outlineLvl w:val="3"/>
        <w:rPr>
          <w:rFonts w:ascii="Times New Roman" w:eastAsia="Times New Roman" w:hAnsi="Times New Roman" w:cs="Times New Roman"/>
          <w:b/>
          <w:bCs/>
          <w:sz w:val="28"/>
          <w:szCs w:val="28"/>
          <w:lang w:eastAsia="es-ES"/>
        </w:rPr>
      </w:pPr>
      <w:bookmarkStart w:id="2" w:name="_documentacion"/>
      <w:bookmarkEnd w:id="2"/>
      <w:r w:rsidRPr="00AE0D8F">
        <w:rPr>
          <w:rFonts w:ascii="Times New Roman" w:eastAsia="Times New Roman" w:hAnsi="Times New Roman" w:cs="Times New Roman"/>
          <w:b/>
          <w:bCs/>
          <w:sz w:val="28"/>
          <w:szCs w:val="28"/>
          <w:lang w:eastAsia="es-ES"/>
        </w:rPr>
        <w:t>FUENTES DE INFORMACIÓN</w:t>
      </w:r>
    </w:p>
    <w:p w:rsidR="00AE0D8F" w:rsidRPr="00AE0D8F" w:rsidRDefault="00AE0D8F" w:rsidP="00AE0D8F">
      <w:pPr>
        <w:spacing w:before="100" w:beforeAutospacing="1" w:after="100" w:afterAutospacing="1" w:line="360" w:lineRule="auto"/>
        <w:jc w:val="both"/>
        <w:outlineLvl w:val="4"/>
        <w:rPr>
          <w:rFonts w:ascii="Times New Roman" w:eastAsia="Times New Roman" w:hAnsi="Times New Roman" w:cs="Times New Roman"/>
          <w:b/>
          <w:bCs/>
          <w:sz w:val="28"/>
          <w:szCs w:val="28"/>
          <w:lang w:eastAsia="es-ES"/>
        </w:rPr>
      </w:pPr>
      <w:r w:rsidRPr="00AE0D8F">
        <w:rPr>
          <w:rFonts w:ascii="Times New Roman" w:eastAsia="Times New Roman" w:hAnsi="Times New Roman" w:cs="Times New Roman"/>
          <w:b/>
          <w:bCs/>
          <w:sz w:val="28"/>
          <w:szCs w:val="28"/>
          <w:lang w:eastAsia="es-ES"/>
        </w:rPr>
        <w:t>Información Bibliográfica</w:t>
      </w:r>
    </w:p>
    <w:p w:rsidR="00AE0D8F" w:rsidRPr="00AE0D8F" w:rsidRDefault="00AE0D8F" w:rsidP="00AE0D8F">
      <w:pPr>
        <w:spacing w:before="100" w:beforeAutospacing="1" w:after="100" w:afterAutospacing="1" w:line="360" w:lineRule="auto"/>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 xml:space="preserve">Incoación Genérica Colectiva en el CGPHA. Resolución de 25 de septiembre de 2002. 24/10/02, 20626. </w:t>
      </w:r>
    </w:p>
    <w:p w:rsidR="00AE0D8F" w:rsidRPr="00AE0D8F" w:rsidRDefault="00AE0D8F" w:rsidP="00AE0D8F">
      <w:pPr>
        <w:spacing w:before="100" w:beforeAutospacing="1" w:after="100" w:afterAutospacing="1" w:line="360" w:lineRule="auto"/>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lastRenderedPageBreak/>
        <w:t xml:space="preserve">Inscripción Genérica Colectiva al CGPHA. Resolución de 24 de febrero de 2004. 15/03/04, 6981. </w:t>
      </w:r>
    </w:p>
    <w:p w:rsidR="0017639E" w:rsidRDefault="00AE0D8F" w:rsidP="0036494E">
      <w:pPr>
        <w:spacing w:before="100" w:beforeAutospacing="1" w:after="100" w:afterAutospacing="1" w:line="360" w:lineRule="auto"/>
        <w:jc w:val="both"/>
        <w:rPr>
          <w:rFonts w:ascii="Times New Roman" w:eastAsia="Times New Roman" w:hAnsi="Times New Roman" w:cs="Times New Roman"/>
          <w:sz w:val="28"/>
          <w:szCs w:val="28"/>
          <w:lang w:eastAsia="es-ES"/>
        </w:rPr>
      </w:pPr>
      <w:r w:rsidRPr="00AE0D8F">
        <w:rPr>
          <w:rFonts w:ascii="Times New Roman" w:eastAsia="Times New Roman" w:hAnsi="Times New Roman" w:cs="Times New Roman"/>
          <w:sz w:val="28"/>
          <w:szCs w:val="28"/>
          <w:lang w:eastAsia="es-ES"/>
        </w:rPr>
        <w:t xml:space="preserve">RESOLUCION de 24 de febrero de 2004, de la Dirección General de Bienes Culturales, por la que se resuelve inscribir colectivamente, con carácter genérico, en el Catálogo General de Patrimonio Histórico Andaluz, los jardines de interés cultural ubicados en Cádiz y su provincia. 19/03/2004, 6981. </w:t>
      </w:r>
    </w:p>
    <w:p w:rsidR="00092AC1" w:rsidRPr="00E6347F" w:rsidRDefault="00092AC1" w:rsidP="0036494E">
      <w:pPr>
        <w:spacing w:before="100" w:beforeAutospacing="1" w:after="100" w:afterAutospacing="1" w:line="360" w:lineRule="auto"/>
        <w:jc w:val="both"/>
        <w:rPr>
          <w:sz w:val="24"/>
          <w:szCs w:val="24"/>
        </w:rPr>
      </w:pPr>
      <w:r w:rsidRPr="00E6347F">
        <w:rPr>
          <w:rFonts w:ascii="Times New Roman" w:eastAsia="Times New Roman" w:hAnsi="Times New Roman" w:cs="Times New Roman"/>
          <w:sz w:val="24"/>
          <w:szCs w:val="24"/>
          <w:lang w:eastAsia="es-ES"/>
        </w:rPr>
        <w:t xml:space="preserve">Puerto Real, Octubre 2013.- E. </w:t>
      </w:r>
      <w:proofErr w:type="spellStart"/>
      <w:r w:rsidRPr="00E6347F">
        <w:rPr>
          <w:rFonts w:ascii="Times New Roman" w:eastAsia="Times New Roman" w:hAnsi="Times New Roman" w:cs="Times New Roman"/>
          <w:sz w:val="24"/>
          <w:szCs w:val="24"/>
          <w:lang w:eastAsia="es-ES"/>
        </w:rPr>
        <w:t>Caldelas</w:t>
      </w:r>
      <w:proofErr w:type="spellEnd"/>
      <w:r w:rsidRPr="00E6347F">
        <w:rPr>
          <w:rFonts w:ascii="Times New Roman" w:eastAsia="Times New Roman" w:hAnsi="Times New Roman" w:cs="Times New Roman"/>
          <w:sz w:val="24"/>
          <w:szCs w:val="24"/>
          <w:lang w:eastAsia="es-ES"/>
        </w:rPr>
        <w:t>.-</w:t>
      </w:r>
    </w:p>
    <w:sectPr w:rsidR="00092AC1" w:rsidRPr="00E6347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D8F"/>
    <w:rsid w:val="000436BE"/>
    <w:rsid w:val="00050AE8"/>
    <w:rsid w:val="00065CF3"/>
    <w:rsid w:val="00092AC1"/>
    <w:rsid w:val="000F3F6F"/>
    <w:rsid w:val="0011443F"/>
    <w:rsid w:val="0017639E"/>
    <w:rsid w:val="001C2E99"/>
    <w:rsid w:val="00211B95"/>
    <w:rsid w:val="0025503F"/>
    <w:rsid w:val="00274CA3"/>
    <w:rsid w:val="002B582C"/>
    <w:rsid w:val="00300C7A"/>
    <w:rsid w:val="0036494E"/>
    <w:rsid w:val="00372FF7"/>
    <w:rsid w:val="003C27E9"/>
    <w:rsid w:val="00423B4B"/>
    <w:rsid w:val="004434C6"/>
    <w:rsid w:val="00444BAB"/>
    <w:rsid w:val="00465874"/>
    <w:rsid w:val="00470C6D"/>
    <w:rsid w:val="004D03DE"/>
    <w:rsid w:val="004E0E06"/>
    <w:rsid w:val="004F3F60"/>
    <w:rsid w:val="005579E0"/>
    <w:rsid w:val="0058520E"/>
    <w:rsid w:val="00594833"/>
    <w:rsid w:val="005D10C1"/>
    <w:rsid w:val="005F648B"/>
    <w:rsid w:val="00605EDA"/>
    <w:rsid w:val="00636D13"/>
    <w:rsid w:val="006745E5"/>
    <w:rsid w:val="00697B62"/>
    <w:rsid w:val="0070263C"/>
    <w:rsid w:val="00741342"/>
    <w:rsid w:val="007D14E0"/>
    <w:rsid w:val="007F356B"/>
    <w:rsid w:val="00812F31"/>
    <w:rsid w:val="008436E4"/>
    <w:rsid w:val="00914903"/>
    <w:rsid w:val="009267BF"/>
    <w:rsid w:val="00977B42"/>
    <w:rsid w:val="009F5203"/>
    <w:rsid w:val="00A424A9"/>
    <w:rsid w:val="00AE0D8F"/>
    <w:rsid w:val="00B16531"/>
    <w:rsid w:val="00B343AE"/>
    <w:rsid w:val="00B62851"/>
    <w:rsid w:val="00B640E6"/>
    <w:rsid w:val="00BA3F31"/>
    <w:rsid w:val="00BA45C4"/>
    <w:rsid w:val="00BF38D4"/>
    <w:rsid w:val="00C006BD"/>
    <w:rsid w:val="00C44962"/>
    <w:rsid w:val="00C523B6"/>
    <w:rsid w:val="00C65AA3"/>
    <w:rsid w:val="00C70D87"/>
    <w:rsid w:val="00C76CDC"/>
    <w:rsid w:val="00C82232"/>
    <w:rsid w:val="00C90C3F"/>
    <w:rsid w:val="00CB306E"/>
    <w:rsid w:val="00D17576"/>
    <w:rsid w:val="00D43573"/>
    <w:rsid w:val="00DC0FD7"/>
    <w:rsid w:val="00DE1E8D"/>
    <w:rsid w:val="00E16354"/>
    <w:rsid w:val="00E6347F"/>
    <w:rsid w:val="00EE0060"/>
    <w:rsid w:val="00F2629D"/>
    <w:rsid w:val="00FC2E1A"/>
    <w:rsid w:val="00FD43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3F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F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3F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03738">
      <w:bodyDiv w:val="1"/>
      <w:marLeft w:val="0"/>
      <w:marRight w:val="0"/>
      <w:marTop w:val="0"/>
      <w:marBottom w:val="0"/>
      <w:divBdr>
        <w:top w:val="none" w:sz="0" w:space="0" w:color="auto"/>
        <w:left w:val="none" w:sz="0" w:space="0" w:color="auto"/>
        <w:bottom w:val="none" w:sz="0" w:space="0" w:color="auto"/>
        <w:right w:val="none" w:sz="0" w:space="0" w:color="auto"/>
      </w:divBdr>
      <w:divsChild>
        <w:div w:id="892497007">
          <w:marLeft w:val="0"/>
          <w:marRight w:val="0"/>
          <w:marTop w:val="0"/>
          <w:marBottom w:val="0"/>
          <w:divBdr>
            <w:top w:val="none" w:sz="0" w:space="0" w:color="auto"/>
            <w:left w:val="none" w:sz="0" w:space="0" w:color="auto"/>
            <w:bottom w:val="none" w:sz="0" w:space="0" w:color="auto"/>
            <w:right w:val="none" w:sz="0" w:space="0" w:color="auto"/>
          </w:divBdr>
        </w:div>
        <w:div w:id="1362365821">
          <w:marLeft w:val="0"/>
          <w:marRight w:val="0"/>
          <w:marTop w:val="0"/>
          <w:marBottom w:val="0"/>
          <w:divBdr>
            <w:top w:val="none" w:sz="0" w:space="0" w:color="auto"/>
            <w:left w:val="none" w:sz="0" w:space="0" w:color="auto"/>
            <w:bottom w:val="none" w:sz="0" w:space="0" w:color="auto"/>
            <w:right w:val="none" w:sz="0" w:space="0" w:color="auto"/>
          </w:divBdr>
        </w:div>
        <w:div w:id="10068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997</Words>
  <Characters>5487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Ernesto</dc:creator>
  <cp:lastModifiedBy>Ernesto</cp:lastModifiedBy>
  <cp:revision>9</cp:revision>
  <dcterms:created xsi:type="dcterms:W3CDTF">2013-10-17T11:32:00Z</dcterms:created>
  <dcterms:modified xsi:type="dcterms:W3CDTF">2014-10-14T09:42:00Z</dcterms:modified>
</cp:coreProperties>
</file>